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hd w:val="clear" w:color="auto" w:fill="ffffff"/>
        <w:jc w:val="center"/>
        <w:outlineLvl w:val="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СОВЕТ ДЕПУТАТОВ ПЕТРОВСКОГО МУНИЦИПАЛЬНОГО ОКРУГА</w:t>
      </w:r>
    </w:p>
    <w:p>
      <w:pPr>
        <w:pStyle w:val="Normal"/>
        <w:shd w:val="clear" w:color="auto" w:fill="ffffff"/>
        <w:jc w:val="center"/>
        <w:outlineLvl w:val="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СТАВРОПОЛЬСКОГО КРАЯ</w:t>
      </w:r>
    </w:p>
    <w:p>
      <w:pPr>
        <w:pStyle w:val="Normal"/>
        <w:shd w:val="clear" w:color="auto" w:fill="ffffff"/>
        <w:jc w:val="center"/>
        <w:outlineLvl w:val="0"/>
        <w:rPr>
          <w:spacing w:val="-4"/>
          <w:sz w:val="28"/>
          <w:szCs w:val="28"/>
        </w:rPr>
      </w:pPr>
      <w:r>
        <w:rPr>
          <w:spacing w:val="-5"/>
          <w:sz w:val="28"/>
          <w:szCs w:val="28"/>
        </w:rPr>
        <w:t xml:space="preserve">ВТОРОГО СОЗЫВА</w:t>
      </w:r>
      <w:r>
        <w:rPr>
          <w:spacing w:val="-4"/>
          <w:sz w:val="28"/>
          <w:szCs w:val="28"/>
        </w:rPr>
      </w:r>
    </w:p>
    <w:p>
      <w:pPr>
        <w:pStyle w:val="Normal"/>
        <w:shd w:val="clear" w:color="auto" w:fill="ffffff"/>
        <w:ind w:left="3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hd w:val="clear" w:color="auto" w:fill="ffffff"/>
        <w:ind w:left="34"/>
        <w:jc w:val="center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РЕШЕНИЕ</w:t>
      </w:r>
    </w:p>
    <w:p>
      <w:pPr>
        <w:pStyle w:val="Normal"/>
        <w:shd w:val="clear" w:color="auto" w:fill="ffffff"/>
        <w:ind w:left="3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tbl>
      <w:tblPr>
        <w:tblW w:w="0" w:type="auto"/>
        <w:tblInd w:w="2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063"/>
        <w:gridCol w:w="3171"/>
        <w:gridCol w:w="3122"/>
      </w:tblGrid>
      <w:tr>
        <w:trPr>
          <w:trHeight w:val="448"/>
        </w:trPr>
        <w:tc>
          <w:tcPr>
            <w:tcW w:w="306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</w:pPr>
            <w:r>
              <w:rPr>
                <w:bCs/>
                <w:sz w:val="28"/>
                <w:szCs w:val="28"/>
              </w:rPr>
              <w:t xml:space="preserve">12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декабря</w:t>
            </w:r>
            <w:r>
              <w:rPr>
                <w:bCs/>
                <w:sz w:val="28"/>
                <w:szCs w:val="28"/>
              </w:rPr>
              <w:t xml:space="preserve"> 2024 г.</w:t>
            </w:r>
          </w:p>
        </w:tc>
        <w:tc>
          <w:tcPr>
            <w:tcW w:w="317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ind w:left="177"/>
              <w:jc w:val="center"/>
            </w:pPr>
            <w:r>
              <w:rPr>
                <w:bCs/>
                <w:sz w:val="28"/>
                <w:szCs w:val="28"/>
              </w:rPr>
              <w:t xml:space="preserve">г. Светлоград</w:t>
            </w:r>
          </w:p>
        </w:tc>
        <w:tc>
          <w:tcPr>
            <w:tcW w:w="312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jc w:val="right"/>
            </w:pP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 xml:space="preserve">108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Положение о порядке выдвижения, внесения, обсуждения, рассмотрения инициативных проектов, а </w:t>
      </w:r>
      <w:r>
        <w:rPr>
          <w:sz w:val="28"/>
          <w:szCs w:val="28"/>
        </w:rPr>
        <w:t xml:space="preserve">также</w:t>
      </w:r>
      <w:r>
        <w:rPr>
          <w:sz w:val="28"/>
          <w:szCs w:val="28"/>
        </w:rPr>
        <w:t xml:space="preserve"> проведения их конкурсного отбора в Петровском </w:t>
      </w:r>
      <w:r>
        <w:rPr>
          <w:sz w:val="28"/>
          <w:szCs w:val="28"/>
        </w:rPr>
        <w:t xml:space="preserve">муниципальном</w:t>
      </w:r>
      <w:r>
        <w:rPr>
          <w:sz w:val="28"/>
          <w:szCs w:val="28"/>
        </w:rPr>
        <w:t xml:space="preserve"> округе Ставропольского края, утвержденное решением Совета депутатов 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 Ставропольского края от 30 </w:t>
      </w:r>
      <w:r>
        <w:rPr>
          <w:sz w:val="28"/>
          <w:szCs w:val="28"/>
        </w:rPr>
        <w:t xml:space="preserve">мая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47</w:t>
      </w: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Законом Ставропольского края от 29.01.2021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1-кз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развитии инициативного бюджетирования в Ставропольском крае», </w:t>
      </w:r>
      <w:r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 Ставропольского края</w:t>
      </w:r>
      <w:r>
        <w:rPr>
          <w:sz w:val="28"/>
          <w:szCs w:val="28"/>
        </w:rPr>
        <w:t xml:space="preserve">, Совет </w:t>
      </w:r>
      <w:r>
        <w:rPr>
          <w:sz w:val="28"/>
          <w:szCs w:val="28"/>
        </w:rPr>
        <w:t xml:space="preserve">депутатов 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 Ставропольского края</w:t>
      </w: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изменения, </w:t>
      </w:r>
      <w:r>
        <w:rPr>
          <w:sz w:val="28"/>
          <w:szCs w:val="28"/>
        </w:rPr>
        <w:t xml:space="preserve">которые </w:t>
      </w:r>
      <w:r>
        <w:rPr>
          <w:sz w:val="28"/>
          <w:szCs w:val="28"/>
        </w:rPr>
        <w:t xml:space="preserve">внос</w:t>
      </w:r>
      <w:r>
        <w:rPr>
          <w:sz w:val="28"/>
          <w:szCs w:val="28"/>
        </w:rPr>
        <w:t xml:space="preserve">ятся </w:t>
      </w: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Положение о порядке выдвижения, внесения, обсуждения, рассмотрения инициативных проектов, а также проведения их конкурсного отбора в Петровском муниципальном округе Ставропольского края, утвержденное решением Совета депутатов Петровского муниципального округа Ставропольского края </w:t>
      </w:r>
      <w:r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 xml:space="preserve">от 30 мая 2024 года № 47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Положения о порядке выдвижения, внесения, обсуждения, рассмотрения инициативных проектов, а также проведения их конкурсного отбора в Петровском муниципальном округе Ставропольского края»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Normal"/>
        <w:tabs>
          <w:tab w:val="center" w:pos="4677" w:leader="none"/>
          <w:tab w:val="right" w:pos="9355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после его официального опубликования в газете «Вестник 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округа».</w:t>
      </w:r>
    </w:p>
    <w:p>
      <w:pPr>
        <w:pStyle w:val="Normal"/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Петровского муниципального округа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</w:t>
        <w:tab/>
        <w:tab/>
        <w:tab/>
        <w:tab/>
        <w:tab/>
        <w:tab/>
        <w:tab/>
        <w:t xml:space="preserve">В.О. Лагунов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Петровского муниципального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</w:t>
        <w:tab/>
        <w:tab/>
        <w:tab/>
        <w:tab/>
        <w:tab/>
        <w:tab/>
        <w:t xml:space="preserve">Н.В. Конкина</w:t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54"/>
        <w:gridCol w:w="4659"/>
      </w:tblGrid>
      <w:tr>
        <w:trPr>
          <w:trHeight w:val="1200"/>
        </w:trPr>
        <w:tc>
          <w:tcPr>
            <w:tcW w:w="485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 w:clear="all"/>
            </w:r>
            <w:r>
              <w:rPr>
                <w:sz w:val="28"/>
                <w:szCs w:val="28"/>
              </w:rPr>
            </w:r>
          </w:p>
        </w:tc>
        <w:tc>
          <w:tcPr>
            <w:tcW w:w="465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</w:t>
            </w:r>
            <w:r>
              <w:rPr>
                <w:sz w:val="28"/>
                <w:szCs w:val="28"/>
              </w:rPr>
              <w:t xml:space="preserve">ы</w:t>
            </w:r>
            <w:r>
              <w:rPr>
                <w:sz w:val="28"/>
                <w:szCs w:val="28"/>
              </w:rPr>
            </w:r>
          </w:p>
          <w:p>
            <w:pPr>
              <w:pStyle w:val="Norma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депутатов Петровского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Ставропольского края</w:t>
            </w:r>
            <w:r>
              <w:rPr>
                <w:sz w:val="28"/>
                <w:szCs w:val="28"/>
              </w:rPr>
              <w:t xml:space="preserve"> от 12.12.2024г. № 108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"/>
        <w:widowControl/>
        <w:spacing w:line="240" w:lineRule="exact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зменения,</w:t>
      </w:r>
    </w:p>
    <w:p>
      <w:pPr>
        <w:pStyle w:val="UserStyle_1"/>
        <w:widowControl/>
        <w:spacing w:line="240" w:lineRule="exact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порядке выдвижения, внесения, обсуждения, рассмотрения инициативных проектов, а также проведения их конкурсного отбора в Петровском муниципальном округе Ставропольского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UserStyle_1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"/>
        <w:widowControl/>
        <w:ind w:right="0"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 пункте 1.2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аздел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Общие положения»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</w:t>
      </w:r>
      <w:r>
        <w:rPr>
          <w:sz w:val="28"/>
          <w:szCs w:val="28"/>
        </w:rPr>
        <w:t xml:space="preserve">одпункт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</w:t>
      </w: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инициативный проект – проект, выдвигаемый жителями Петровского округа, органами территориального самоуправления, старостой сельского населенного пункта, предусматривающий реализацию мероприятий,</w:t>
      </w:r>
      <w:r>
        <w:rPr>
          <w:sz w:val="28"/>
          <w:szCs w:val="28"/>
        </w:rPr>
        <w:t xml:space="preserve"> имеющих приоритетное значение для жителей Петровского округа или его части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решению вопросов местного значения или иных вопросов, право решения которых предоставлено органам местного самоуправления </w:t>
      </w:r>
      <w:r>
        <w:rPr>
          <w:sz w:val="28"/>
          <w:szCs w:val="28"/>
        </w:rPr>
        <w:t xml:space="preserve">Петровского </w:t>
      </w:r>
      <w:r>
        <w:rPr>
          <w:sz w:val="28"/>
          <w:szCs w:val="28"/>
        </w:rPr>
        <w:t xml:space="preserve">окру</w:t>
      </w:r>
      <w:r>
        <w:rPr>
          <w:sz w:val="28"/>
          <w:szCs w:val="28"/>
        </w:rPr>
        <w:t xml:space="preserve">га;»;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</w:t>
      </w:r>
      <w:r>
        <w:rPr>
          <w:sz w:val="28"/>
          <w:szCs w:val="28"/>
        </w:rPr>
        <w:t xml:space="preserve"> подпункте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слова «осуществляющие свою деятельность на территории Петровского округа» заменить словами «староста сельского населенного пункта»;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</w:t>
      </w:r>
      <w:r>
        <w:rPr>
          <w:sz w:val="28"/>
          <w:szCs w:val="28"/>
        </w:rPr>
        <w:t xml:space="preserve">одпункт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» и «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«4) инициативное бюджетирование – вовлечение жителей Петровского округа в решение вопросов местного значения и иных вопросов, право решения которых предоставлено органу местного самоуправления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округа;</w:t>
      </w: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исполнительный орган – администрация Петровского муниципального округа Ставропольского края (далее – администрация Петровского округа);».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В пункте 3.3 раздела 3 «Порядок выдвижения инициативных проектов»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</w:t>
      </w:r>
      <w:r>
        <w:rPr>
          <w:sz w:val="28"/>
          <w:szCs w:val="28"/>
        </w:rPr>
        <w:t xml:space="preserve"> абзаце первом слово «сходе,» исключить;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</w:t>
      </w:r>
      <w:r>
        <w:rPr>
          <w:sz w:val="28"/>
          <w:szCs w:val="28"/>
        </w:rPr>
        <w:t xml:space="preserve"> абзаце втором слова «на одном сходе,» исключить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 абзаце третьем пункта 4.2 раздела 4 «Порядок внесения инициативных проектов» слово «схода,» исключить.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Совета </w:t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депутатов Петровского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</w:r>
    </w:p>
    <w:p>
      <w:pPr>
        <w:pStyle w:val="Header"/>
        <w:tabs>
          <w:tab w:val="left" w:pos="708" w:leader="none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</w:t>
        <w:tab/>
        <w:tab/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Е.Н. Денисенко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sectPr>
      <w:type w:val="nextPage"/>
      <w:pgSz w:w="11906" w:h="16838"/>
      <w:pgMar w:top="1079" w:right="566" w:bottom="719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1287" w:leader="none"/>
        </w:tabs>
        <w:ind w:left="1287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2007" w:leader="none"/>
        </w:tabs>
        <w:ind w:left="200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727" w:leader="none"/>
        </w:tabs>
        <w:ind w:left="272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447" w:leader="none"/>
        </w:tabs>
        <w:ind w:left="344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4167" w:leader="none"/>
        </w:tabs>
        <w:ind w:left="416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887" w:leader="none"/>
        </w:tabs>
        <w:ind w:left="488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607" w:leader="none"/>
        </w:tabs>
        <w:ind w:left="560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327" w:leader="none"/>
        </w:tabs>
        <w:ind w:left="632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7047" w:leader="none"/>
        </w:tabs>
        <w:ind w:left="7047" w:hanging="180"/>
      </w:p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080" w:leader="none"/>
        </w:tabs>
        <w:ind w:left="108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1800" w:leader="none"/>
        </w:tabs>
        <w:ind w:left="180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520" w:leader="none"/>
        </w:tabs>
        <w:ind w:left="252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240" w:leader="none"/>
        </w:tabs>
        <w:ind w:left="324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3960" w:leader="none"/>
        </w:tabs>
        <w:ind w:left="396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4680" w:leader="none"/>
        </w:tabs>
        <w:ind w:left="468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400" w:leader="none"/>
        </w:tabs>
        <w:ind w:left="540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120" w:leader="none"/>
        </w:tabs>
        <w:ind w:left="612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612" w:leader="none"/>
        </w:tabs>
        <w:ind w:left="612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332" w:leader="none"/>
        </w:tabs>
        <w:ind w:left="1332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052" w:leader="none"/>
        </w:tabs>
        <w:ind w:left="2052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772" w:leader="none"/>
        </w:tabs>
        <w:ind w:left="2772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492" w:leader="none"/>
        </w:tabs>
        <w:ind w:left="3492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212" w:leader="none"/>
        </w:tabs>
        <w:ind w:left="4212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4932" w:leader="none"/>
        </w:tabs>
        <w:ind w:left="4932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652" w:leader="none"/>
        </w:tabs>
        <w:ind w:left="5652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372" w:leader="none"/>
        </w:tabs>
        <w:ind w:left="6372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927" w:hanging="360"/>
      </w:pPr>
      <w:rPr>
        <w:rFonts w:ascii="Times New Roman" w:hAnsi="Times New Roman" w:cs="Times New Roman"/>
      </w:rPr>
    </w:lvl>
    <w:lvl w:ilvl="1">
      <w:start w:val="1"/>
      <w:numFmt w:val="decimal"/>
      <w:suff w:val="tab"/>
      <w:lvlText w:val="%1.%2"/>
      <w:lvlJc w:val="left"/>
      <w:pPr>
        <w:pStyle w:val="Normal"/>
        <w:ind w:left="987" w:hanging="420"/>
      </w:pPr>
    </w:lvl>
    <w:lvl w:ilvl="2">
      <w:start w:val="1"/>
      <w:numFmt w:val="decimal"/>
      <w:suff w:val="tab"/>
      <w:lvlText w:val="%1.%2.%3"/>
      <w:lvlJc w:val="left"/>
      <w:pPr>
        <w:pStyle w:val="Normal"/>
        <w:ind w:left="1287" w:hanging="720"/>
      </w:pPr>
    </w:lvl>
    <w:lvl w:ilvl="3">
      <w:start w:val="1"/>
      <w:numFmt w:val="decimal"/>
      <w:suff w:val="tab"/>
      <w:lvlText w:val="%1.%2.%3.%4"/>
      <w:lvlJc w:val="left"/>
      <w:pPr>
        <w:pStyle w:val="Normal"/>
        <w:ind w:left="1647" w:hanging="1080"/>
      </w:pPr>
    </w:lvl>
    <w:lvl w:ilvl="4">
      <w:start w:val="1"/>
      <w:numFmt w:val="decimal"/>
      <w:suff w:val="tab"/>
      <w:lvlText w:val="%1.%2.%3.%4.%5"/>
      <w:lvlJc w:val="left"/>
      <w:pPr>
        <w:pStyle w:val="Normal"/>
        <w:ind w:left="1647" w:hanging="1080"/>
      </w:pPr>
    </w:lvl>
    <w:lvl w:ilvl="5">
      <w:start w:val="1"/>
      <w:numFmt w:val="decimal"/>
      <w:suff w:val="tab"/>
      <w:lvlText w:val="%1.%2.%3.%4.%5.%6"/>
      <w:lvlJc w:val="left"/>
      <w:pPr>
        <w:pStyle w:val="Normal"/>
        <w:ind w:left="2007" w:hanging="1440"/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ind w:left="2007" w:hanging="1440"/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ind w:left="2367" w:hanging="1800"/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ind w:left="2727" w:hanging="2160"/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1287" w:leader="none"/>
        </w:tabs>
        <w:ind w:left="1287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2007" w:leader="none"/>
        </w:tabs>
        <w:ind w:left="200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727" w:leader="none"/>
        </w:tabs>
        <w:ind w:left="272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447" w:leader="none"/>
        </w:tabs>
        <w:ind w:left="344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4167" w:leader="none"/>
        </w:tabs>
        <w:ind w:left="416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887" w:leader="none"/>
        </w:tabs>
        <w:ind w:left="488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607" w:leader="none"/>
        </w:tabs>
        <w:ind w:left="560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327" w:leader="none"/>
        </w:tabs>
        <w:ind w:left="632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7047" w:leader="none"/>
        </w:tabs>
        <w:ind w:left="7047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1287" w:leader="none"/>
        </w:tabs>
        <w:ind w:left="1287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2007" w:leader="none"/>
        </w:tabs>
        <w:ind w:left="200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727" w:leader="none"/>
        </w:tabs>
        <w:ind w:left="272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447" w:leader="none"/>
        </w:tabs>
        <w:ind w:left="344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4167" w:leader="none"/>
        </w:tabs>
        <w:ind w:left="416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887" w:leader="none"/>
        </w:tabs>
        <w:ind w:left="488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607" w:leader="none"/>
        </w:tabs>
        <w:ind w:left="560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327" w:leader="none"/>
        </w:tabs>
        <w:ind w:left="632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7047" w:leader="none"/>
        </w:tabs>
        <w:ind w:left="7047" w:hanging="180"/>
      </w:p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1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1080" w:leader="none"/>
        </w:tabs>
        <w:ind w:left="108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800" w:leader="none"/>
        </w:tabs>
        <w:ind w:left="180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520" w:leader="none"/>
        </w:tabs>
        <w:ind w:left="252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240" w:leader="none"/>
        </w:tabs>
        <w:ind w:left="324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960" w:leader="none"/>
        </w:tabs>
        <w:ind w:left="396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680" w:leader="none"/>
        </w:tabs>
        <w:ind w:left="468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400" w:leader="none"/>
        </w:tabs>
        <w:ind w:left="540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120" w:leader="none"/>
        </w:tabs>
        <w:ind w:left="612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840" w:leader="none"/>
        </w:tabs>
        <w:ind w:left="6840" w:hanging="180"/>
      </w:pPr>
    </w:lvl>
  </w:abstractNum>
  <w:abstractNum w:abstractNumId="1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character" w:styleId="NormalCharacter">
    <w:name w:val="Основной шрифт абзаца, Знак Знак2"/>
    <w:next w:val="NormalCharacter"/>
    <w:link w:val="UserStyle_0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UserStyle_1">
    <w:name w:val="ConsNormal"/>
    <w:next w:val="UserStyle_1"/>
    <w:link w:val="Normal"/>
    <w:pPr>
      <w:widowControl w:val="off"/>
      <w:ind w:right="19772" w:firstLine="720"/>
    </w:pPr>
    <w:rPr>
      <w:rFonts w:ascii="Arial" w:hAnsi="Arial" w:cs="Arial"/>
      <w:sz w:val="18"/>
      <w:szCs w:val="18"/>
      <w:lang w:val="ru-RU" w:eastAsia="ru-RU" w:bidi="ar-SA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2">
    <w:name w:val="Char Char Car Car Char Char Car Car Char Char Car Car Char Char"/>
    <w:basedOn w:val="Normal"/>
    <w:next w:val="UserStyle_2"/>
    <w:link w:val="Normal"/>
    <w:pPr>
      <w:spacing w:after="160" w:line="240" w:lineRule="exact"/>
    </w:pPr>
    <w:rPr>
      <w:sz w:val="20"/>
      <w:szCs w:val="20"/>
    </w:rPr>
  </w:style>
  <w:style w:type="paragraph" w:styleId="BodyText3">
    <w:name w:val="Основной текст 3"/>
    <w:basedOn w:val="Normal"/>
    <w:next w:val="BodyText3"/>
    <w:link w:val="UserStyle_3"/>
    <w:pPr>
      <w:spacing w:after="120"/>
    </w:pPr>
    <w:rPr>
      <w:sz w:val="16"/>
      <w:szCs w:val="16"/>
    </w:rPr>
  </w:style>
  <w:style w:type="paragraph" w:styleId="UserStyle_4">
    <w:name w:val=" Знак"/>
    <w:basedOn w:val="Normal"/>
    <w:next w:val="UserStyle_4"/>
    <w:link w:val="Normal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UserStyle_5">
    <w:name w:val="Style7"/>
    <w:basedOn w:val="Normal"/>
    <w:next w:val="UserStyle_5"/>
    <w:link w:val="Normal"/>
    <w:pPr>
      <w:widowControl w:val="off"/>
      <w:spacing w:line="290" w:lineRule="exact"/>
      <w:ind w:firstLine="547"/>
      <w:jc w:val="both"/>
    </w:pPr>
  </w:style>
  <w:style w:type="character" w:styleId="UserStyle_6">
    <w:name w:val="Font Style15"/>
    <w:next w:val="UserStyle_6"/>
    <w:link w:val="Normal"/>
    <w:rPr>
      <w:rFonts w:ascii="Times New Roman" w:hAnsi="Times New Roman" w:cs="Times New Roman"/>
      <w:sz w:val="26"/>
      <w:szCs w:val="26"/>
    </w:rPr>
  </w:style>
  <w:style w:type="paragraph" w:styleId="BodyText">
    <w:name w:val="Основной текст"/>
    <w:basedOn w:val="Normal"/>
    <w:next w:val="BodyText"/>
    <w:link w:val="Normal"/>
    <w:pPr>
      <w:spacing w:after="120"/>
    </w:pPr>
  </w:style>
  <w:style w:type="character" w:styleId="UserStyle_3">
    <w:name w:val="Основной текст 3 Знак"/>
    <w:next w:val="UserStyle_3"/>
    <w:link w:val="BodyText3"/>
    <w:rPr>
      <w:sz w:val="16"/>
      <w:szCs w:val="16"/>
    </w:rPr>
  </w:style>
  <w:style w:type="paragraph" w:styleId="UserStyle_0">
    <w:name w:val="UserStyle_0"/>
    <w:basedOn w:val="Normal"/>
    <w:next w:val="UserStyle_0"/>
    <w:link w:val="NormalCharacter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Заголовок"/>
    <w:basedOn w:val="Normal"/>
    <w:next w:val="Title"/>
    <w:link w:val="UserStyle_7"/>
    <w:qFormat/>
    <w:pPr>
      <w:jc w:val="center"/>
    </w:pPr>
    <w:rPr>
      <w:b/>
      <w:szCs w:val="20"/>
    </w:rPr>
  </w:style>
  <w:style w:type="character" w:styleId="UserStyle_7">
    <w:name w:val="Заголовок Знак"/>
    <w:next w:val="UserStyle_7"/>
    <w:link w:val="Title"/>
    <w:rPr>
      <w:b/>
      <w:sz w:val="24"/>
      <w:lang w:val="ru-RU" w:eastAsia="ru-RU" w:bidi="ar-SA"/>
    </w:rPr>
  </w:style>
  <w:style w:type="paragraph" w:styleId="UserStyle_8">
    <w:name w:val="ConsPlusNormal"/>
    <w:next w:val="UserStyle_8"/>
    <w:link w:val="Normal"/>
    <w:pPr>
      <w:ind w:firstLine="720"/>
    </w:pPr>
    <w:rPr>
      <w:rFonts w:ascii="Arial" w:hAnsi="Arial" w:cs="Arial"/>
      <w:lang w:val="ru-RU" w:eastAsia="ru-RU" w:bidi="ar-SA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08"/>
    </w:pPr>
  </w:style>
  <w:style w:type="paragraph" w:styleId="Header">
    <w:name w:val="Верхний колонтитул"/>
    <w:basedOn w:val="Normal"/>
    <w:next w:val="Header"/>
    <w:link w:val="UserStyle_9"/>
    <w:pPr>
      <w:tabs>
        <w:tab w:val="center" w:pos="4677" w:leader="none"/>
        <w:tab w:val="right" w:pos="9355" w:leader="none"/>
      </w:tabs>
    </w:pPr>
    <w:rPr>
      <w:rFonts w:eastAsia="Calibri"/>
    </w:rPr>
  </w:style>
  <w:style w:type="character" w:styleId="UserStyle_9">
    <w:name w:val="Верхний колонтитул Знак"/>
    <w:next w:val="UserStyle_9"/>
    <w:link w:val="Header"/>
    <w:locked/>
    <w:rPr>
      <w:rFonts w:eastAsia="Calibri"/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haracters>3080</Characters>
  <CharactersWithSpaces>3613</CharactersWithSpaces>
  <DocSecurity>0</DocSecurity>
  <HyperlinksChanged>false</HyperlinksChanged>
  <Lines>25</Lines>
  <Pages>2</Pages>
  <Paragraphs>7</Paragraphs>
  <ScaleCrop>false</ScaleCrop>
  <SharedDoc>false</SharedDoc>
  <Template>Normal</Template>
  <Words>540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Денисенко</dc:creator>
  <cp:lastModifiedBy>306</cp:lastModifiedBy>
  <cp:revision>2</cp:revision>
  <dcterms:created xsi:type="dcterms:W3CDTF">2024-12-12T11:00:00Z</dcterms:created>
  <dcterms:modified xsi:type="dcterms:W3CDTF">2024-12-12T11:00:00Z</dcterms:modified>
  <cp:version>1048576</cp:version>
</cp:coreProperties>
</file>